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115"/>
        <w:gridCol w:w="5686"/>
      </w:tblGrid>
      <w:tr w:rsidR="002454D4" w14:paraId="77039F68" w14:textId="77777777" w:rsidTr="007118B8">
        <w:trPr>
          <w:trHeight w:val="1585"/>
        </w:trPr>
        <w:tc>
          <w:tcPr>
            <w:tcW w:w="2115" w:type="dxa"/>
          </w:tcPr>
          <w:p w14:paraId="4C5BD636" w14:textId="77777777" w:rsidR="002454D4" w:rsidRDefault="002454D4" w:rsidP="007118B8">
            <w:r>
              <w:rPr>
                <w:noProof/>
              </w:rPr>
              <w:drawing>
                <wp:inline distT="0" distB="0" distL="0" distR="0" wp14:anchorId="72B6C43D" wp14:editId="68934AF3">
                  <wp:extent cx="972000" cy="9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7A35A4E3" w14:textId="77777777" w:rsidR="002454D4" w:rsidRDefault="002454D4" w:rsidP="007118B8">
            <w:pPr>
              <w:spacing w:before="160"/>
              <w:jc w:val="center"/>
            </w:pPr>
            <w:r>
              <w:rPr>
                <w:b/>
              </w:rPr>
              <w:t>T.C.</w:t>
              <w:br/>
              <w:t>KAHRAMANMARAŞ SÜTÇÜ İMAM ÜNİVERSİTESİ</w:t>
              <w:br/>
              <w:t>LİSANSÜSTÜ EĞİTİM ENSTİTÜSÜ</w:t>
              <w:br/>
            </w:r>
          </w:p>
        </w:tc>
      </w:tr>
    </w:tbl>
    <w:p w14:paraId="61075E3A" w14:textId="2D14A5B9" w:rsidR="002454D4" w:rsidRPr="00802F99" w:rsidRDefault="00B8710D" w:rsidP="002454D4">
      <w:pPr>
        <w:pBdr>
          <w:bottom w:val="single" w:sz="10" w:space="0" w:color="C59C57"/>
        </w:pBdr>
        <w:spacing w:after="300"/>
        <w:jc w:val="center"/>
        <w:rPr>
          <w:b/>
          <w:bCs/>
        </w:rPr>
      </w:pPr>
      <w:r>
        <w:rPr>
          <w:b/>
          <w:bCs/>
        </w:rPr>
        <w:t xml:space="preserve">TEZLERİN ERİŞİME KAPATILMASI İŞLEMLERİ</w:t>
      </w:r>
    </w:p>
    <w:p>
      <w:pPr>
        <w:keepNext/>
        <w:pBdr>
          <w:bottom w:val="single" w:sz="8" w:space="0" w:color="D5BC8A"/>
        </w:pBdr>
        <w:spacing w:before="0" w:after="140"/>
      </w:pPr>
      <w:r>
        <w:rPr>
          <w:b/>
        </w:rPr>
        <w:t xml:space="preserve">AÇIKLAMALAR</w:t>
      </w:r>
    </w:p>
    <w:p>
      <w:pPr>
        <w:spacing w:after="100"/>
        <w:jc w:val="both"/>
      </w:pPr>
      <w:r>
        <w:t xml:space="preserve">Tezler, öğrencinin ve tez danışmanının talebi doğrultusunda Enstitü Yönetim Kurulu (EYK) kararı ile belirli bir süre için erişime kapatılır.</w:t>
      </w:r>
    </w:p>
    <w:p>
      <w:pPr>
        <w:spacing w:after="100"/>
        <w:jc w:val="both"/>
      </w:pPr>
      <w:r>
        <w:t xml:space="preserve">Erişime kapatma talebinde bulunulabilmesi için tezin ciltlenmiş ve onaylanmış (jüri üyeleri, tez danışmanı ve EABD Başkanı tarafından) şekilde hazırlanmış olması gerekmektedir.</w:t>
      </w:r>
    </w:p>
    <w:p>
      <w:pPr>
        <w:keepNext/>
        <w:pBdr>
          <w:bottom w:val="single" w:sz="8" w:space="0" w:color="D5BC8A"/>
        </w:pBdr>
        <w:spacing w:before="280" w:after="140"/>
      </w:pPr>
      <w:r>
        <w:rPr>
          <w:b/>
        </w:rPr>
        <w:t xml:space="preserve">İŞLEM ADIMLARI</w:t>
      </w:r>
    </w:p>
    <w:p>
      <w:pPr>
        <w:keepNext/>
        <w:spacing w:before="160" w:after="80"/>
      </w:pPr>
      <w:r>
        <w:rPr>
          <w:b/>
          <w:i/>
          <w:color w:val="8A6D2F"/>
        </w:rPr>
        <w:t xml:space="preserve">Öğrenci / Tez Danışmanı</w:t>
      </w:r>
    </w:p>
    <w:p>
      <w:pPr>
        <w:spacing w:after="80"/>
        <w:ind w:left="360" w:hanging="300"/>
        <w:jc w:val="both"/>
      </w:pPr>
      <w:r>
        <w:t xml:space="preserve">1.</w:t>
      </w:r>
      <w:r>
        <w:tab/>
      </w:r>
      <w:r>
        <w:t xml:space="preserve">Öğrenci veya tez danışmanı, ciltlenmiş ve onaylanmış tezlerle birlikte tezin erişime kapatılması için EABD Öğrenci İşleri Sekreterliğine başvurur.</w:t>
      </w:r>
    </w:p>
    <w:p>
      <w:pPr>
        <w:keepNext/>
        <w:spacing w:after="80"/>
        <w:ind w:left="360" w:hanging="300"/>
        <w:jc w:val="both"/>
      </w:pPr>
      <w:r>
        <w:t xml:space="preserve">2.</w:t>
      </w:r>
      <w:r>
        <w:tab/>
      </w:r>
      <w:r>
        <w:t xml:space="preserve">Başvuruda tez danışmanının ve varsa ortak tez danışmanının gerekçeli ve onaylı yazısının bulunması zorunludur. 18.06.2018 tarihli YÖK Yönergesine göre tezler, YÖK Ulusal Tez Merkezinde ve KSÜ Kütüphanesinde aşağıdaki süreler boyunca erişime kapatılır:</w:t>
      </w:r>
    </w:p>
    <w:p>
      <w:pPr>
        <w:spacing w:after="60"/>
        <w:ind w:left="720" w:hanging="300"/>
        <w:jc w:val="both"/>
      </w:pPr>
      <w:r>
        <w:t xml:space="preserve">•</w:t>
      </w:r>
      <w:r>
        <w:tab/>
      </w:r>
      <w:r>
        <w:rPr>
          <w:b/>
        </w:rPr>
        <w:t xml:space="preserve">Patent başvurusu yapılacak tezler:</w:t>
      </w:r>
      <w:r>
        <w:t xml:space="preserve"> 2 yıl</w:t>
      </w:r>
    </w:p>
    <w:p>
      <w:pPr>
        <w:spacing w:after="60"/>
        <w:ind w:left="720" w:hanging="300"/>
        <w:jc w:val="both"/>
      </w:pPr>
      <w:r>
        <w:t xml:space="preserve">•</w:t>
      </w:r>
      <w:r>
        <w:tab/>
      </w:r>
      <w:r>
        <w:rPr>
          <w:b/>
        </w:rPr>
        <w:t xml:space="preserve">Makale yazılacak tezler:</w:t>
      </w:r>
      <w:r>
        <w:t xml:space="preserve"> 6 ay</w:t>
      </w:r>
    </w:p>
    <w:p>
      <w:pPr>
        <w:keepNext/>
        <w:spacing w:before="160" w:after="80"/>
      </w:pPr>
      <w:r>
        <w:rPr>
          <w:b/>
          <w:i/>
          <w:color w:val="8A6D2F"/>
        </w:rPr>
        <w:t xml:space="preserve">EABD Başkanlığı ve EABD Öğrenci İşleri</w:t>
      </w:r>
    </w:p>
    <w:p>
      <w:pPr>
        <w:keepNext/>
        <w:spacing w:after="80"/>
        <w:ind w:left="360" w:hanging="300"/>
        <w:jc w:val="both"/>
      </w:pPr>
      <w:r>
        <w:t xml:space="preserve">3.</w:t>
      </w:r>
      <w:r>
        <w:tab/>
      </w:r>
      <w:r>
        <w:t xml:space="preserve">Dilekçe ve ekleri, EABD Öğrenci İşleri Sekreterliği tarafından EABD Başkanının yazısı ile Enstitüye iletilir. Ekler:</w:t>
      </w:r>
    </w:p>
    <w:p>
      <w:pPr>
        <w:spacing w:after="60"/>
        <w:ind w:left="720" w:hanging="300"/>
        <w:jc w:val="both"/>
      </w:pPr>
      <w:r>
        <w:t xml:space="preserve">•</w:t>
      </w:r>
      <w:r>
        <w:tab/>
      </w:r>
      <w:r>
        <w:t xml:space="preserve">Tez danışmanının/danışmanlarının açıklayıcı yazısı (tez adı, tez referans numarası vb.)</w:t>
      </w:r>
    </w:p>
    <w:p>
      <w:pPr>
        <w:spacing w:after="60"/>
        <w:ind w:left="720" w:hanging="300"/>
        <w:jc w:val="both"/>
      </w:pPr>
      <w:r>
        <w:t xml:space="preserve">•</w:t>
      </w:r>
      <w:r>
        <w:tab/>
      </w:r>
      <w:r>
        <w:t xml:space="preserve">Ciltlenmiş ve onaylanmış tezler</w:t>
      </w:r>
    </w:p>
    <w:p>
      <w:pPr>
        <w:keepNext/>
        <w:spacing w:before="160" w:after="80"/>
      </w:pPr>
      <w:r>
        <w:rPr>
          <w:b/>
          <w:i/>
          <w:color w:val="8A6D2F"/>
        </w:rPr>
        <w:t xml:space="preserve">Enstitü Personeli</w:t>
      </w:r>
    </w:p>
    <w:p>
      <w:pPr>
        <w:spacing w:after="80"/>
        <w:ind w:left="360" w:hanging="300"/>
        <w:jc w:val="both"/>
      </w:pPr>
      <w:r>
        <w:t xml:space="preserve">4.</w:t>
      </w:r>
      <w:r>
        <w:tab/>
      </w:r>
      <w:r>
        <w:t xml:space="preserve">Evrakın kontrolü yapılır ve uygunsa EYK kararı hazırlanır. Eksik belgeyle yapılan başvurular EABD’ye iade edilir. EYK kararına göre YÖK Ulusal Tez Merkezi sistemine, kararın tarihi ve sayısı belirtilerek kısıtlama konulur.</w:t>
      </w:r>
    </w:p>
    <w:p>
      <w:pPr>
        <w:keepNext/>
        <w:spacing w:before="160" w:after="80"/>
      </w:pPr>
      <w:r>
        <w:rPr>
          <w:b/>
          <w:i/>
          <w:color w:val="8A6D2F"/>
        </w:rPr>
        <w:t xml:space="preserve">Enstitü Yönetim Kurulu</w:t>
      </w:r>
    </w:p>
    <w:p>
      <w:pPr>
        <w:spacing w:after="80"/>
        <w:ind w:left="360" w:hanging="300"/>
        <w:jc w:val="both"/>
      </w:pPr>
      <w:r>
        <w:t xml:space="preserve">5.</w:t>
      </w:r>
      <w:r>
        <w:tab/>
      </w:r>
      <w:r>
        <w:t xml:space="preserve">EYK’nın tezin erişime kapatılmasına karar vermesi durumunda karar EABD’ye, YÖK’e ve KSÜ Kütüphanesine bildirilir. Aksi durumda EABD’ye bilgi verilir.</w:t>
      </w:r>
    </w:p>
    <w:p>
      <w:pPr>
        <w:keepNext/>
        <w:pBdr>
          <w:bottom w:val="single" w:sz="8" w:space="0" w:color="D5BC8A"/>
        </w:pBdr>
        <w:spacing w:before="280" w:after="140"/>
      </w:pPr>
      <w:r>
        <w:rPr>
          <w:b/>
        </w:rPr>
        <w:t xml:space="preserve">UYARILAR</w:t>
      </w:r>
    </w:p>
    <w:p>
      <w:pPr>
        <w:spacing w:after="80"/>
        <w:ind w:left="360" w:hanging="300"/>
        <w:jc w:val="both"/>
      </w:pPr>
      <w:r>
        <w:t xml:space="preserve">•</w:t>
      </w:r>
      <w:r>
        <w:tab/>
      </w:r>
      <w:r>
        <w:t xml:space="preserve">Tezlerin erişime kapatılması konusunda değerlendirmeler, 18.06.2018 tarihli YÖK Yönergesinin 6. maddesine göre yapılır.</w:t>
      </w:r>
    </w:p>
    <w:p>
      <w:pPr>
        <w:spacing w:after="80"/>
        <w:ind w:left="360" w:hanging="300"/>
        <w:jc w:val="both"/>
      </w:pPr>
      <w:r>
        <w:t xml:space="preserve">•</w:t>
      </w:r>
      <w:r>
        <w:tab/>
      </w:r>
      <w:r>
        <w:t xml:space="preserve">Ortak tez danışmanı ile yürütülen tezlerde gerekçeli talep yazısının ortak tez danışmanı tarafından da imzalanması gerekmektedir.</w:t>
      </w:r>
    </w:p>
    <w:sectPr w:rsidR="00D10FD3" w:rsidSect="003A1CEE">
      <w:pgSz w:w="11906" w:h="16838"/>
      <w:pgMar w:top="737" w:right="1162" w:bottom="737"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76B0F44"/>
    <w:multiLevelType w:val="hybridMultilevel"/>
    <w:tmpl w:val="C6C60D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257102">
    <w:abstractNumId w:val="8"/>
  </w:num>
  <w:num w:numId="2" w16cid:durableId="743376938">
    <w:abstractNumId w:val="6"/>
  </w:num>
  <w:num w:numId="3" w16cid:durableId="797190670">
    <w:abstractNumId w:val="5"/>
  </w:num>
  <w:num w:numId="4" w16cid:durableId="1766028181">
    <w:abstractNumId w:val="4"/>
  </w:num>
  <w:num w:numId="5" w16cid:durableId="308290947">
    <w:abstractNumId w:val="7"/>
  </w:num>
  <w:num w:numId="6" w16cid:durableId="1960603361">
    <w:abstractNumId w:val="3"/>
  </w:num>
  <w:num w:numId="7" w16cid:durableId="1900557345">
    <w:abstractNumId w:val="2"/>
  </w:num>
  <w:num w:numId="8" w16cid:durableId="386494166">
    <w:abstractNumId w:val="1"/>
  </w:num>
  <w:num w:numId="9" w16cid:durableId="1404138973">
    <w:abstractNumId w:val="0"/>
  </w:num>
  <w:num w:numId="10" w16cid:durableId="3611341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4F6"/>
    <w:rsid w:val="0015074B"/>
    <w:rsid w:val="002454D4"/>
    <w:rsid w:val="0029639D"/>
    <w:rsid w:val="00326F90"/>
    <w:rsid w:val="003A1CEE"/>
    <w:rsid w:val="005A7C45"/>
    <w:rsid w:val="00606584"/>
    <w:rsid w:val="00AA1D8D"/>
    <w:rsid w:val="00AD6073"/>
    <w:rsid w:val="00B47730"/>
    <w:rsid w:val="00B8710D"/>
    <w:rsid w:val="00CB0664"/>
    <w:rsid w:val="00D10F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CCFD3"/>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7</cp:revision>
  <dcterms:created xsi:type="dcterms:W3CDTF">2026-09-24T06:29:00Z</dcterms:created>
  <dcterms:modified xsi:type="dcterms:W3CDTF">2026-09-24T09:12:00Z</dcterms:modified>
  <cp:category/>
</cp:coreProperties>
</file>